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0EADC8" w14:textId="77777777" w:rsidR="004A37A5" w:rsidRPr="00D90DF0" w:rsidRDefault="004A37A5" w:rsidP="004A37A5">
      <w:pPr>
        <w:keepNext/>
        <w:jc w:val="left"/>
        <w:outlineLvl w:val="1"/>
        <w:rPr>
          <w:rFonts w:ascii="Arial" w:eastAsia="Calibri" w:hAnsi="Arial"/>
          <w:b/>
          <w:sz w:val="36"/>
          <w:szCs w:val="36"/>
        </w:rPr>
      </w:pPr>
      <w:r w:rsidRPr="00D90DF0">
        <w:rPr>
          <w:rFonts w:ascii="Arial" w:eastAsia="Calibri" w:hAnsi="Arial"/>
          <w:b/>
          <w:sz w:val="36"/>
          <w:szCs w:val="36"/>
        </w:rPr>
        <w:t>Call-Off Sche</w:t>
      </w:r>
      <w:bookmarkStart w:id="0" w:name="_GoBack"/>
      <w:bookmarkEnd w:id="0"/>
      <w:r w:rsidRPr="00D90DF0">
        <w:rPr>
          <w:rFonts w:ascii="Arial" w:eastAsia="Calibri" w:hAnsi="Arial"/>
          <w:b/>
          <w:sz w:val="36"/>
          <w:szCs w:val="36"/>
        </w:rPr>
        <w:t xml:space="preserve">dule 16 </w:t>
      </w:r>
      <w:r w:rsidR="00D90DF0">
        <w:rPr>
          <w:rFonts w:ascii="Arial" w:eastAsia="Calibri" w:hAnsi="Arial"/>
          <w:b/>
          <w:sz w:val="36"/>
          <w:szCs w:val="36"/>
        </w:rPr>
        <w:t>(</w:t>
      </w:r>
      <w:r w:rsidRPr="00D90DF0">
        <w:rPr>
          <w:rFonts w:ascii="Arial" w:eastAsia="Calibri" w:hAnsi="Arial"/>
          <w:b/>
          <w:sz w:val="36"/>
          <w:szCs w:val="36"/>
        </w:rPr>
        <w:t>Benchmarking</w:t>
      </w:r>
      <w:r w:rsidR="00D90DF0">
        <w:rPr>
          <w:rFonts w:ascii="Arial" w:eastAsia="Calibri" w:hAnsi="Arial"/>
          <w:b/>
          <w:sz w:val="36"/>
          <w:szCs w:val="36"/>
        </w:rPr>
        <w:t>)</w:t>
      </w:r>
    </w:p>
    <w:p w14:paraId="680EADC9" w14:textId="77777777"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14:paraId="680EADCA"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4B6D51" w:rsidRPr="004A37A5" w14:paraId="3ABDBCBC" w14:textId="77777777" w:rsidTr="00A219A9">
        <w:tc>
          <w:tcPr>
            <w:tcW w:w="1803" w:type="pct"/>
            <w:shd w:val="clear" w:color="auto" w:fill="auto"/>
          </w:tcPr>
          <w:p w14:paraId="1C83EFA9"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0C8DE603"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4B6D51" w:rsidRPr="004A37A5" w14:paraId="07BAE01E" w14:textId="77777777" w:rsidTr="00A219A9">
        <w:tc>
          <w:tcPr>
            <w:tcW w:w="1803" w:type="pct"/>
            <w:shd w:val="clear" w:color="auto" w:fill="auto"/>
          </w:tcPr>
          <w:p w14:paraId="6FF6E5FB"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6DE1BA7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4B6D51" w:rsidRPr="004A37A5" w14:paraId="680EADCD" w14:textId="77777777">
        <w:tc>
          <w:tcPr>
            <w:tcW w:w="1803" w:type="pct"/>
            <w:shd w:val="clear" w:color="auto" w:fill="auto"/>
          </w:tcPr>
          <w:p w14:paraId="680EADCB" w14:textId="3AF4EC20" w:rsidR="004B6D51" w:rsidRPr="004A37A5" w:rsidRDefault="004B6D51" w:rsidP="004B6D51">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680EADCC" w14:textId="6BD5F0A6" w:rsidR="004B6D51" w:rsidRPr="004A37A5" w:rsidRDefault="004B6D51" w:rsidP="004B6D51">
            <w:pPr>
              <w:pStyle w:val="GPsDefinition"/>
              <w:jc w:val="left"/>
              <w:rPr>
                <w:rFonts w:ascii="Arial" w:hAnsi="Arial"/>
                <w:sz w:val="24"/>
                <w:szCs w:val="24"/>
              </w:rPr>
            </w:pPr>
            <w:r w:rsidRPr="004A37A5">
              <w:rPr>
                <w:rFonts w:ascii="Arial" w:hAnsi="Arial"/>
                <w:sz w:val="24"/>
                <w:szCs w:val="24"/>
              </w:rPr>
              <w:t>the Charges for Comparable Deliverables;</w:t>
            </w:r>
          </w:p>
        </w:tc>
      </w:tr>
      <w:tr w:rsidR="004B6D51" w:rsidRPr="004A37A5" w14:paraId="4E3A4B3E" w14:textId="77777777" w:rsidTr="00541F66">
        <w:tc>
          <w:tcPr>
            <w:tcW w:w="1803" w:type="pct"/>
            <w:shd w:val="clear" w:color="auto" w:fill="auto"/>
          </w:tcPr>
          <w:p w14:paraId="2DF6C34C"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6EAF180B"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B6D51" w:rsidRPr="004A37A5" w14:paraId="680EADDF" w14:textId="77777777">
        <w:tc>
          <w:tcPr>
            <w:tcW w:w="1803" w:type="pct"/>
            <w:shd w:val="clear" w:color="auto" w:fill="auto"/>
          </w:tcPr>
          <w:p w14:paraId="680EADDD"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680EADDE"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B6D51" w:rsidRPr="004A37A5" w14:paraId="680EADE2" w14:textId="77777777">
        <w:tc>
          <w:tcPr>
            <w:tcW w:w="1803" w:type="pct"/>
            <w:shd w:val="clear" w:color="auto" w:fill="auto"/>
          </w:tcPr>
          <w:p w14:paraId="680EADE0"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680EADE1"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4B6D51" w:rsidRPr="004A37A5" w14:paraId="680EADE5" w14:textId="77777777">
        <w:tc>
          <w:tcPr>
            <w:tcW w:w="1803" w:type="pct"/>
            <w:shd w:val="clear" w:color="auto" w:fill="auto"/>
          </w:tcPr>
          <w:p w14:paraId="680EADE3"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680EADE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4B6D51" w:rsidRPr="004A37A5" w14:paraId="680EADE8" w14:textId="77777777">
        <w:tc>
          <w:tcPr>
            <w:tcW w:w="1803" w:type="pct"/>
            <w:shd w:val="clear" w:color="auto" w:fill="auto"/>
          </w:tcPr>
          <w:p w14:paraId="680EADE6"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14:paraId="680EADE7"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680EADE9" w14:textId="77777777"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14:paraId="680EADEA" w14:textId="7777777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14:paraId="680EADEB" w14:textId="77777777"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14:paraId="680EADEC"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14:paraId="680EADED" w14:textId="77777777"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14:paraId="680EADEE" w14:textId="77777777" w:rsidR="007337F4" w:rsidRPr="004A37A5" w:rsidRDefault="00D33320" w:rsidP="004A37A5">
      <w:pPr>
        <w:pStyle w:val="GPSL2Numbered"/>
        <w:keepNext/>
        <w:jc w:val="left"/>
        <w:rPr>
          <w:rFonts w:ascii="Arial" w:hAnsi="Arial"/>
          <w:b/>
          <w:sz w:val="24"/>
          <w:szCs w:val="24"/>
        </w:rPr>
      </w:pPr>
      <w:r>
        <w:rPr>
          <w:rFonts w:ascii="Arial" w:hAnsi="Arial"/>
          <w:b/>
          <w:sz w:val="24"/>
          <w:szCs w:val="24"/>
        </w:rPr>
        <w:t>How benchmarking works</w:t>
      </w:r>
    </w:p>
    <w:p w14:paraId="7990698F" w14:textId="1B836F08" w:rsidR="00A219A9" w:rsidRDefault="00A219A9" w:rsidP="004A37A5">
      <w:pPr>
        <w:pStyle w:val="GPSL3numberedclause"/>
        <w:jc w:val="left"/>
        <w:rPr>
          <w:rFonts w:ascii="Arial" w:hAnsi="Arial"/>
          <w:sz w:val="24"/>
          <w:szCs w:val="24"/>
        </w:rPr>
      </w:pPr>
      <w:r w:rsidRPr="00195227">
        <w:rPr>
          <w:rFonts w:ascii="Arial" w:hAnsi="Arial"/>
          <w:sz w:val="24"/>
        </w:rPr>
        <w:t>The Buyer and the Supplier recognise that, where specified in Framework Schedule 4 (Framework Management), the Buyer may give CCS the right to enforce the Buyer's rights under this Schedule</w:t>
      </w:r>
      <w:r>
        <w:rPr>
          <w:rFonts w:ascii="Arial" w:hAnsi="Arial"/>
          <w:sz w:val="24"/>
        </w:rPr>
        <w:t>.</w:t>
      </w:r>
    </w:p>
    <w:p w14:paraId="680EADEF"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680EADF0"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680EADF1"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680EADF2"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680EADF3" w14:textId="00A78C43"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r w:rsidR="004B7DE1">
        <w:rPr>
          <w:rFonts w:ascii="Arial" w:hAnsi="Arial"/>
          <w:sz w:val="24"/>
          <w:szCs w:val="24"/>
        </w:rPr>
        <w:t>benchmarker</w:t>
      </w:r>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r w:rsidR="004B7DE1">
        <w:rPr>
          <w:rFonts w:ascii="Arial" w:hAnsi="Arial"/>
          <w:sz w:val="24"/>
          <w:szCs w:val="24"/>
        </w:rPr>
        <w:t>benchmarker</w:t>
      </w:r>
      <w:r w:rsidR="00341AEF" w:rsidRPr="004A37A5">
        <w:rPr>
          <w:rFonts w:ascii="Arial" w:hAnsi="Arial"/>
          <w:sz w:val="24"/>
          <w:szCs w:val="24"/>
        </w:rPr>
        <w:t xml:space="preserve">.  If the Parties cannot agree the appointment within twenty (20) days of the initial request for Benchmark review then a </w:t>
      </w:r>
      <w:r w:rsidR="004B7DE1">
        <w:rPr>
          <w:rFonts w:ascii="Arial" w:hAnsi="Arial"/>
          <w:sz w:val="24"/>
          <w:szCs w:val="24"/>
        </w:rPr>
        <w:t>benchmarker</w:t>
      </w:r>
      <w:r w:rsidR="00341AEF" w:rsidRPr="004A37A5">
        <w:rPr>
          <w:rFonts w:ascii="Arial" w:hAnsi="Arial"/>
          <w:sz w:val="24"/>
          <w:szCs w:val="24"/>
        </w:rPr>
        <w:t xml:space="preserve"> shall be selected by the Chartered Institute of Financial Accountants. </w:t>
      </w:r>
    </w:p>
    <w:p w14:paraId="680EADF4" w14:textId="71F96BA8"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reasonably). Invoices by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be raised against the Supplier and the relevant portion shall be reimbursed by the Buyer.</w:t>
      </w:r>
    </w:p>
    <w:p w14:paraId="680EADF5" w14:textId="77777777"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lastRenderedPageBreak/>
        <w:t>Benchmarking Process</w:t>
      </w:r>
    </w:p>
    <w:p w14:paraId="680EADF6" w14:textId="14209D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produce and send to the Buyer, for Approval, a draft plan for the Benchmark Review </w:t>
      </w:r>
      <w:bookmarkStart w:id="1" w:name="_Ref365988031"/>
      <w:r w:rsidRPr="004A37A5">
        <w:rPr>
          <w:rFonts w:ascii="Arial" w:hAnsi="Arial"/>
          <w:sz w:val="24"/>
          <w:szCs w:val="24"/>
        </w:rPr>
        <w:t>which must include:</w:t>
      </w:r>
      <w:bookmarkEnd w:id="1"/>
    </w:p>
    <w:p w14:paraId="680EADF7"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680EADF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680EADF9" w14:textId="0599D466"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a description of how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will scope and identify the Comparison Group. </w:t>
      </w:r>
    </w:p>
    <w:p w14:paraId="680EADFA" w14:textId="3F6F4E09" w:rsidR="007337F4" w:rsidRPr="004A37A5" w:rsidRDefault="00341AEF" w:rsidP="004A37A5">
      <w:pPr>
        <w:pStyle w:val="GPSL3numberedclause"/>
        <w:jc w:val="left"/>
        <w:rPr>
          <w:rFonts w:ascii="Arial" w:hAnsi="Arial"/>
          <w:sz w:val="24"/>
          <w:szCs w:val="24"/>
        </w:rPr>
      </w:pPr>
      <w:bookmarkStart w:id="2" w:name="_Ref365987948"/>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acting reasonably, shall be entitled to use any model to determine the achievement of value for money and to carry out the benchmarking. </w:t>
      </w:r>
    </w:p>
    <w:p w14:paraId="680EADFB" w14:textId="674ED476" w:rsidR="007337F4" w:rsidRPr="004A37A5" w:rsidRDefault="00341AEF" w:rsidP="004A37A5">
      <w:pPr>
        <w:pStyle w:val="GPSL3numberedclause"/>
        <w:jc w:val="left"/>
        <w:rPr>
          <w:rFonts w:ascii="Arial" w:hAnsi="Arial"/>
          <w:sz w:val="24"/>
          <w:szCs w:val="24"/>
        </w:rPr>
      </w:pPr>
      <w:bookmarkStart w:id="3" w:name="_Ref492661344"/>
      <w:r w:rsidRPr="004A37A5">
        <w:rPr>
          <w:rFonts w:ascii="Arial" w:hAnsi="Arial"/>
          <w:sz w:val="24"/>
          <w:szCs w:val="24"/>
        </w:rPr>
        <w:t xml:space="preserve">The Buyer must give notice in writing to the Supplier within ten (10) Working Days after receiving the draft plan, advising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2"/>
      <w:r w:rsidRPr="004A37A5">
        <w:rPr>
          <w:rFonts w:ascii="Arial" w:hAnsi="Arial"/>
          <w:sz w:val="24"/>
          <w:szCs w:val="24"/>
        </w:rPr>
        <w:t xml:space="preserve">If amendments are suggested then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must produce an amended draft plan and this Paragraph 3.2.3 shall apply to any amended draft plan.</w:t>
      </w:r>
      <w:bookmarkEnd w:id="3"/>
    </w:p>
    <w:p w14:paraId="680EADFC" w14:textId="7E91CB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No Party may unreasonably withhold or delay its Approval of the draft plan.</w:t>
      </w:r>
    </w:p>
    <w:p w14:paraId="680EADFD" w14:textId="647155CA"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w:t>
      </w:r>
    </w:p>
    <w:p w14:paraId="680EADF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finalise the Comparison Group and collect data relating to Comparable Rates. The selection of the Comparable Rates (both in terms of number and identity) shall be a matter for the Supplier's professional judgment using:</w:t>
      </w:r>
    </w:p>
    <w:p w14:paraId="680EADFF"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680EAE00" w14:textId="02712AA0"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’s own data and experience;</w:t>
      </w:r>
    </w:p>
    <w:p w14:paraId="680EAE01"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680EAE02" w14:textId="5A629643"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004B6D51">
        <w:rPr>
          <w:rFonts w:ascii="Arial" w:hAnsi="Arial"/>
          <w:sz w:val="24"/>
          <w:szCs w:val="24"/>
        </w:rPr>
        <w:t>3.2.6</w:t>
      </w:r>
      <w:r w:rsidR="004B6D51" w:rsidRPr="004A37A5">
        <w:rPr>
          <w:rFonts w:ascii="Arial" w:hAnsi="Arial"/>
          <w:sz w:val="24"/>
          <w:szCs w:val="24"/>
        </w:rPr>
        <w:t xml:space="preserve"> </w:t>
      </w:r>
      <w:r w:rsidRPr="004A37A5">
        <w:rPr>
          <w:rFonts w:ascii="Arial" w:hAnsi="Arial"/>
          <w:sz w:val="24"/>
          <w:szCs w:val="24"/>
        </w:rPr>
        <w:t xml:space="preserve"> below, information from other suppliers or purchasers on Comparable Rates;</w:t>
      </w:r>
    </w:p>
    <w:p w14:paraId="680EAE03" w14:textId="0661A259"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004B6D51">
        <w:rPr>
          <w:rFonts w:ascii="Arial" w:hAnsi="Arial"/>
          <w:sz w:val="24"/>
          <w:szCs w:val="24"/>
        </w:rPr>
        <w:t xml:space="preserve">3.2.7 </w:t>
      </w:r>
      <w:r w:rsidRPr="004A37A5">
        <w:rPr>
          <w:rFonts w:ascii="Arial" w:hAnsi="Arial"/>
          <w:sz w:val="24"/>
          <w:szCs w:val="24"/>
        </w:rPr>
        <w:t>and from an analysis of the Comparable Rates, derive the Equivalent Data;</w:t>
      </w:r>
    </w:p>
    <w:p w14:paraId="680EAE04"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680EAE05"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determine whether or not each Benchmarked Rate is, and/or the Benchmarked Rates as a whole are, Good Value.</w:t>
      </w:r>
    </w:p>
    <w:p w14:paraId="680EAE06" w14:textId="35FDD8C0"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t xml:space="preserve">The Supplier shall use all reasonable endeavours and act in good faith to supply information required by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in order to </w:t>
      </w:r>
      <w:r w:rsidRPr="004A37A5">
        <w:rPr>
          <w:rFonts w:ascii="Arial" w:hAnsi="Arial"/>
          <w:sz w:val="24"/>
          <w:szCs w:val="24"/>
        </w:rPr>
        <w:lastRenderedPageBreak/>
        <w:t>undertake the benchmarking.  The Supplier agrees to use its reasonable endeavours to obtain information from other suppliers or purchasers on Comparable Rates.</w:t>
      </w:r>
      <w:bookmarkEnd w:id="4"/>
    </w:p>
    <w:p w14:paraId="680EAE07" w14:textId="19E261B4"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 xml:space="preserve">In carrying out the benchmarking analysis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5"/>
    </w:p>
    <w:p w14:paraId="680EAE0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680EAE0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680EAE0A"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any other factors reasonably identified by the Supplier, which, if not taken into consideration, could unfairly cause the Supplier's pricing to appear non-competitive.</w:t>
      </w:r>
    </w:p>
    <w:p w14:paraId="680EAE0B" w14:textId="77777777"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14:paraId="680EAE0C" w14:textId="33C4C9EB"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following the Benchmark Review and as further described in this Schedule;</w:t>
      </w:r>
    </w:p>
    <w:p w14:paraId="680EAE0D" w14:textId="02B2EA66"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680EAE0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680EAE0F"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680EAE10"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14:paraId="680EAE11" w14:textId="77777777" w:rsidR="00A7314E" w:rsidRDefault="00341AEF" w:rsidP="004A37A5">
      <w:pPr>
        <w:pStyle w:val="GPSL3numberedclause"/>
        <w:jc w:val="left"/>
        <w:rPr>
          <w:rFonts w:ascii="Arial" w:hAnsi="Arial"/>
          <w:sz w:val="24"/>
          <w:szCs w:val="24"/>
        </w:rPr>
        <w:sectPr w:rsidR="00A7314E" w:rsidSect="00D90DF0">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r w:rsidRPr="004A37A5">
        <w:rPr>
          <w:rFonts w:ascii="Arial" w:hAnsi="Arial"/>
          <w:sz w:val="24"/>
          <w:szCs w:val="24"/>
        </w:rPr>
        <w:t>The Parties agree that any changes required to this Contract identified in the Benchmarking Report shall be implemented at the direction of the Buyer in accordance with Clause 24 (Changing the contract).</w:t>
      </w:r>
    </w:p>
    <w:p w14:paraId="680EAE12" w14:textId="77777777" w:rsidR="007337F4" w:rsidRPr="004A37A5" w:rsidRDefault="007337F4" w:rsidP="00A7314E">
      <w:pPr>
        <w:pStyle w:val="GPSL3numberedclause"/>
        <w:numPr>
          <w:ilvl w:val="0"/>
          <w:numId w:val="0"/>
        </w:numPr>
        <w:ind w:left="1656" w:hanging="720"/>
        <w:jc w:val="left"/>
        <w:rPr>
          <w:rFonts w:ascii="Arial" w:hAnsi="Arial"/>
          <w:sz w:val="24"/>
          <w:szCs w:val="24"/>
        </w:rPr>
      </w:pPr>
    </w:p>
    <w:sectPr w:rsidR="007337F4" w:rsidRPr="004A37A5" w:rsidSect="00D90DF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B00449" w14:textId="77777777" w:rsidR="00C825A4" w:rsidRDefault="00C825A4">
      <w:pPr>
        <w:spacing w:after="0"/>
      </w:pPr>
      <w:r>
        <w:separator/>
      </w:r>
    </w:p>
  </w:endnote>
  <w:endnote w:type="continuationSeparator" w:id="0">
    <w:p w14:paraId="67FBA8E8" w14:textId="77777777" w:rsidR="00C825A4" w:rsidRDefault="00C825A4">
      <w:pPr>
        <w:spacing w:after="0"/>
      </w:pPr>
      <w:r>
        <w:continuationSeparator/>
      </w:r>
    </w:p>
  </w:endnote>
  <w:endnote w:type="continuationNotice" w:id="1">
    <w:p w14:paraId="599DE950" w14:textId="77777777" w:rsidR="00C825A4" w:rsidRDefault="00C825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1B" w14:textId="77777777" w:rsidR="00D32C62" w:rsidRPr="00985E32" w:rsidRDefault="00D32C62">
    <w:pPr>
      <w:tabs>
        <w:tab w:val="center" w:pos="4513"/>
        <w:tab w:val="right" w:pos="9026"/>
      </w:tabs>
      <w:spacing w:after="0"/>
      <w:rPr>
        <w:rFonts w:ascii="Arial" w:hAnsi="Arial"/>
        <w:sz w:val="20"/>
      </w:rPr>
    </w:pPr>
  </w:p>
  <w:p w14:paraId="680EAE1C" w14:textId="39C10D57" w:rsidR="00D32C62" w:rsidRPr="00985E32" w:rsidRDefault="00D32C62" w:rsidP="004D49BE">
    <w:pPr>
      <w:tabs>
        <w:tab w:val="center" w:pos="4513"/>
        <w:tab w:val="right" w:pos="9026"/>
      </w:tabs>
      <w:spacing w:after="0"/>
      <w:rPr>
        <w:rFonts w:ascii="Arial" w:hAnsi="Arial"/>
        <w:sz w:val="20"/>
      </w:rPr>
    </w:pPr>
    <w:r w:rsidRPr="00985E32">
      <w:rPr>
        <w:rFonts w:ascii="Arial" w:hAnsi="Arial"/>
        <w:sz w:val="20"/>
      </w:rPr>
      <w:t>Framework Ref: RM</w:t>
    </w:r>
    <w:r w:rsidR="0022462C">
      <w:rPr>
        <w:rFonts w:ascii="Arial" w:hAnsi="Arial"/>
        <w:sz w:val="20"/>
      </w:rPr>
      <w:t>6154 Linen and Laundry Services</w:t>
    </w:r>
  </w:p>
  <w:p w14:paraId="680EAE1D" w14:textId="77777777" w:rsidR="00D32C62" w:rsidRPr="00985E32" w:rsidRDefault="00D32C62"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2F3490">
      <w:rPr>
        <w:rFonts w:ascii="Arial" w:hAnsi="Arial"/>
        <w:noProof/>
        <w:sz w:val="20"/>
      </w:rPr>
      <w:t>5</w:t>
    </w:r>
    <w:r w:rsidRPr="00985E32">
      <w:rPr>
        <w:rFonts w:ascii="Arial" w:hAnsi="Arial"/>
        <w:noProof/>
        <w:sz w:val="20"/>
      </w:rPr>
      <w:fldChar w:fldCharType="end"/>
    </w:r>
  </w:p>
  <w:p w14:paraId="680EAE1E" w14:textId="2697E5CE" w:rsidR="00D32C62" w:rsidRDefault="00D32C62" w:rsidP="004D49BE">
    <w:pPr>
      <w:tabs>
        <w:tab w:val="center" w:pos="4513"/>
        <w:tab w:val="right" w:pos="9026"/>
      </w:tabs>
      <w:spacing w:after="0"/>
    </w:pPr>
    <w:r>
      <w:rPr>
        <w:rFonts w:ascii="Arial" w:hAnsi="Arial"/>
        <w:sz w:val="20"/>
      </w:rPr>
      <w:t>Model Version: v3.</w:t>
    </w:r>
    <w:r w:rsidR="004B6D51">
      <w:rPr>
        <w:rFonts w:ascii="Arial" w:hAnsi="Arial"/>
        <w:sz w:val="20"/>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20" w14:textId="77777777" w:rsidR="00D32C62" w:rsidRPr="00985E32" w:rsidRDefault="00D32C62"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14:paraId="680EAE21" w14:textId="77777777" w:rsidR="00D32C62" w:rsidRPr="00985E32" w:rsidRDefault="00D32C62"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680EAE22" w14:textId="77777777" w:rsidR="00D32C62" w:rsidRDefault="00D32C62"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9F2B3A" w14:textId="77777777" w:rsidR="00C825A4" w:rsidRDefault="00C825A4">
      <w:pPr>
        <w:spacing w:after="0"/>
      </w:pPr>
      <w:r>
        <w:separator/>
      </w:r>
    </w:p>
  </w:footnote>
  <w:footnote w:type="continuationSeparator" w:id="0">
    <w:p w14:paraId="1DA45EEF" w14:textId="77777777" w:rsidR="00C825A4" w:rsidRDefault="00C825A4">
      <w:pPr>
        <w:spacing w:after="0"/>
      </w:pPr>
      <w:r>
        <w:continuationSeparator/>
      </w:r>
    </w:p>
  </w:footnote>
  <w:footnote w:type="continuationNotice" w:id="1">
    <w:p w14:paraId="742556B7" w14:textId="77777777" w:rsidR="00C825A4" w:rsidRDefault="00C825A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17" w14:textId="77777777" w:rsidR="00D32C62" w:rsidRPr="00985E32" w:rsidRDefault="00D32C62">
    <w:pPr>
      <w:pStyle w:val="Header"/>
      <w:rPr>
        <w:rFonts w:ascii="Arial" w:hAnsi="Arial"/>
        <w:sz w:val="20"/>
      </w:rPr>
    </w:pPr>
    <w:r w:rsidRPr="00985E32">
      <w:rPr>
        <w:rFonts w:ascii="Arial" w:hAnsi="Arial"/>
        <w:b/>
        <w:sz w:val="20"/>
      </w:rPr>
      <w:t>Call-</w:t>
    </w:r>
    <w:r>
      <w:rPr>
        <w:rFonts w:ascii="Arial" w:hAnsi="Arial"/>
        <w:b/>
        <w:sz w:val="20"/>
      </w:rPr>
      <w:t>Off Schedule 16 (Benchmarking)</w:t>
    </w:r>
  </w:p>
  <w:p w14:paraId="680EAE18" w14:textId="77777777" w:rsidR="00D32C62" w:rsidRDefault="00D32C62">
    <w:pPr>
      <w:pStyle w:val="Header"/>
      <w:rPr>
        <w:rFonts w:ascii="Arial" w:hAnsi="Arial"/>
        <w:sz w:val="20"/>
      </w:rPr>
    </w:pPr>
    <w:r>
      <w:rPr>
        <w:rFonts w:ascii="Arial" w:hAnsi="Arial"/>
        <w:sz w:val="20"/>
      </w:rPr>
      <w:t>Call-Off Ref:</w:t>
    </w:r>
  </w:p>
  <w:p w14:paraId="680EAE19" w14:textId="684C29CC" w:rsidR="00D32C62" w:rsidRPr="00985E32" w:rsidRDefault="0022462C">
    <w:pPr>
      <w:pStyle w:val="Header"/>
      <w:rPr>
        <w:rFonts w:ascii="Arial" w:hAnsi="Arial"/>
        <w:sz w:val="20"/>
      </w:rPr>
    </w:pPr>
    <w:r>
      <w:rPr>
        <w:rFonts w:ascii="Arial" w:hAnsi="Arial"/>
        <w:sz w:val="20"/>
      </w:rPr>
      <w:t>© Crown Copyright</w:t>
    </w:r>
    <w:r w:rsidR="002F3490">
      <w:rPr>
        <w:rFonts w:ascii="Arial" w:hAnsi="Arial"/>
        <w:sz w:val="20"/>
      </w:rPr>
      <w:t xml:space="preserve"> </w:t>
    </w:r>
    <w:r w:rsidR="002F3490">
      <w:rPr>
        <w:rFonts w:ascii="Arial" w:hAnsi="Arial"/>
        <w:sz w:val="20"/>
        <w:szCs w:val="20"/>
      </w:rPr>
      <w:t>2019</w:t>
    </w:r>
  </w:p>
  <w:p w14:paraId="680EAE1A" w14:textId="77777777" w:rsidR="00D32C62" w:rsidRDefault="00D32C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1F" w14:textId="77777777" w:rsidR="00D32C62" w:rsidRDefault="00D32C62">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680EAE23" wp14:editId="680EAE2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0007AA"/>
    <w:rsid w:val="000E0342"/>
    <w:rsid w:val="00114CD2"/>
    <w:rsid w:val="001A1CEB"/>
    <w:rsid w:val="0022462C"/>
    <w:rsid w:val="002F3490"/>
    <w:rsid w:val="0031285C"/>
    <w:rsid w:val="00341AEF"/>
    <w:rsid w:val="00362C6F"/>
    <w:rsid w:val="003649A8"/>
    <w:rsid w:val="003A7DDA"/>
    <w:rsid w:val="00421741"/>
    <w:rsid w:val="004954E5"/>
    <w:rsid w:val="004A37A5"/>
    <w:rsid w:val="004B6D51"/>
    <w:rsid w:val="004B7DE1"/>
    <w:rsid w:val="004D49BE"/>
    <w:rsid w:val="00541F66"/>
    <w:rsid w:val="006C5497"/>
    <w:rsid w:val="006E2B29"/>
    <w:rsid w:val="007139DC"/>
    <w:rsid w:val="00720275"/>
    <w:rsid w:val="007337F4"/>
    <w:rsid w:val="00857CFB"/>
    <w:rsid w:val="0093441D"/>
    <w:rsid w:val="00985E32"/>
    <w:rsid w:val="00A219A9"/>
    <w:rsid w:val="00A7314E"/>
    <w:rsid w:val="00B5059A"/>
    <w:rsid w:val="00B967F8"/>
    <w:rsid w:val="00BD2248"/>
    <w:rsid w:val="00C520AE"/>
    <w:rsid w:val="00C825A4"/>
    <w:rsid w:val="00D32C62"/>
    <w:rsid w:val="00D33320"/>
    <w:rsid w:val="00D90DF0"/>
    <w:rsid w:val="00DE2C9E"/>
    <w:rsid w:val="00DF1BCC"/>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80E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D0662-02A2-4445-A254-1AEA86D2A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1232</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2018-07-23T07:42:00Z</dcterms:created>
  <dcterms:modified xsi:type="dcterms:W3CDTF">2019-09-13T07:26:00Z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